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3.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0"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w:t>
      </w:r>
      <w:r>
        <w:t xml:space="preserve"> </w:t>
      </w:r>
      <w:r>
        <w:rPr>
          <w:bCs/>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generally averaged</w:t>
      </w:r>
      <w:r>
        <w:t xml:space="preserve"> </w:t>
      </w:r>
      <m:oMath>
        <m:r>
          <m:rPr>
            <m:sty m:val="p"/>
          </m:rPr>
          <m:t>≤</m:t>
        </m:r>
      </m:oMath>
      <w:r>
        <w:t xml:space="preserve"> </w:t>
      </w:r>
      <w:r>
        <w:rPr>
          <w:bCs/>
          <w:b/>
        </w:rPr>
        <w:t xml:space="preserve">~1</w:t>
      </w:r>
      <w:r>
        <w:t xml:space="preserve"> </w:t>
      </w:r>
      <w:r>
        <w:t xml:space="preserve">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but largely dissipate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 [Figs. 2, S1,</w:t>
      </w:r>
      <w:r>
        <w:rPr>
          <w:bCs/>
          <w:b/>
        </w:rPr>
        <w:t xml:space="preserve"> </w:t>
      </w:r>
      <w:r>
        <w:rPr>
          <w:iCs/>
          <w:i/>
          <w:bCs/>
          <w:b/>
        </w:rPr>
        <w:t xml:space="preserve">Defrenne et al.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w:t>
      </w:r>
      <w:r>
        <w:rPr>
          <w:bCs/>
          <w:b/>
        </w:rPr>
        <w:t xml:space="preserve">REF</w:t>
      </w:r>
      <w:r>
        <w:t xml:space="preserv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rPr>
          <w:iCs/>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rPr>
          <w:bCs/>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(see next section), give them lower sensitivity to intercepted radiation (Fig. 3a) and higher rates of heat loss (Fig. 3b-e).</w:t>
      </w:r>
    </w:p>
    <w:p>
      <w:pPr>
        <w:pStyle w:val="BodyText"/>
      </w:pPr>
      <w:r>
        <w:rPr>
          <w:bCs/>
          <w:b/>
        </w:rPr>
        <w:t xml:space="preserve">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would have less ability to shed excess heat under hot and humid conditions.</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p>
    <w:p>
      <w:pPr>
        <w:pStyle w:val="BodyText"/>
      </w:pPr>
      <w:r>
        <w:t xml:space="preserve">~~~</w:t>
      </w:r>
      <w:r>
        <w:t xml:space="preserve"> </w:t>
      </w:r>
      <w:r>
        <w:rPr>
          <w:bCs/>
          <w:b/>
        </w:rPr>
        <w:t xml:space="preserve">(KAT stopped here)</w:t>
      </w:r>
    </w:p>
    <w:p>
      <w:pPr>
        <w:pStyle w:val="BodyText"/>
      </w:pPr>
      <w:r>
        <w:t xml:space="preserve">Across species, inherent leaf</w:t>
      </w:r>
      <w:r>
        <w:t xml:space="preserve"> </w:t>
      </w:r>
      <m:oMath>
        <m:r>
          <m:t>g</m:t>
        </m:r>
        <m:r>
          <m:t>s</m:t>
        </m:r>
      </m:oMath>
      <w:r>
        <w:t xml:space="preserve"> </w:t>
      </w:r>
      <w:r>
        <w:t xml:space="preserve">is generally greater in sun leaves than shade leaves, due to stomata density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–including increase with exposure,</w:t>
      </w:r>
      <w:r>
        <w:t xml:space="preserve"> </w:t>
      </w:r>
      <m:oMath>
        <m:sSub>
          <m:e>
            <m:r>
              <m:t>g</m:t>
            </m:r>
          </m:e>
          <m:sub>
            <m:r>
              <m:t>s</m:t>
            </m:r>
          </m:sub>
        </m:sSub>
      </m:oMath>
      <w:r>
        <w:t xml:space="preserve"> </w:t>
      </w:r>
      <w:r>
        <w:t xml:space="preserve">limitation is steeper for sun- than shade-leaves, resulting in increased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 Lastly, canopy structure and architecture adaptation can also influence canopy temperature</w:t>
      </w:r>
      <w:r>
        <w:t xml:space="preserve"> </w:t>
      </w:r>
      <w:r>
        <w:t xml:space="preserve">(Leuzinger &amp; Körner, 2007; Muller</w:t>
      </w:r>
      <w:r>
        <w:t xml:space="preserve"> </w:t>
      </w:r>
      <w:r>
        <w:rPr>
          <w:iCs/>
          <w:i/>
        </w:rPr>
        <w:t xml:space="preserve">et al.</w:t>
      </w:r>
      <w:r>
        <w:t xml:space="preserve">, 2021)</w:t>
      </w:r>
    </w:p>
    <w:bookmarkEnd w:id="29"/>
    <w:bookmarkStart w:id="30"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tropical moist and wet forest</w:t>
      </w:r>
      <w:r>
        <w:t xml:space="preserve"> </w:t>
      </w:r>
      <w:r>
        <w:t xml:space="preserve">(Mau</w:t>
      </w:r>
      <w:r>
        <w:t xml:space="preserve"> </w:t>
      </w:r>
      <w:r>
        <w:rPr>
          <w:iCs/>
          <w:i/>
        </w:rPr>
        <w:t xml:space="preserve">et al.</w:t>
      </w:r>
      <w:r>
        <w:t xml:space="preserve">, 2018b)</w:t>
      </w:r>
      <w:r>
        <w:t xml:space="preserve"> </w:t>
      </w:r>
      <w:r>
        <w:t xml:space="preserve">and sparse canopies</w:t>
      </w:r>
      <w:r>
        <w:t xml:space="preserve"> </w:t>
      </w:r>
      <w:r>
        <w:t xml:space="preserve">(Leuzinger &amp; Körner, 2007; Pau</w:t>
      </w:r>
      <w:r>
        <w:t xml:space="preserve"> </w:t>
      </w:r>
      <w:r>
        <w:rPr>
          <w:iCs/>
          <w:i/>
        </w:rPr>
        <w:t xml:space="preserve">et al.</w:t>
      </w:r>
      <w:r>
        <w:t xml:space="preserve">, 2018)</w:t>
      </w:r>
      <w:r>
        <w:t xml:space="preserve">, however in considering a broader range of forests, results may differ (Fig. 2). At a specie-specific level, leaf boundary resistance is lower for conifers than broad-leaf species, resulting in higher mean</w:t>
      </w:r>
      <w:r>
        <w:t xml:space="preserve"> </w:t>
      </w:r>
      <m:oMath>
        <m:sSub>
          <m:e>
            <m:r>
              <m:t>T</m:t>
            </m:r>
          </m:e>
          <m:sub>
            <m:r>
              <m:t>l</m:t>
            </m:r>
            <m:r>
              <m:t>e</m:t>
            </m:r>
            <m:r>
              <m:t>a</m:t>
            </m:r>
            <m:r>
              <m:t>f</m:t>
            </m:r>
          </m:sub>
        </m:sSub>
      </m:oMath>
      <w:r>
        <w:t xml:space="preserve"> </w:t>
      </w:r>
      <w:r>
        <w:t xml:space="preserve">in broad-leaf trees than conifer canopies</w:t>
      </w:r>
      <w:r>
        <w:t xml:space="preserve"> </w:t>
      </w:r>
      <w:r>
        <w:t xml:space="preserve">(Leuzinger &amp; Körner, 2007; Pau</w:t>
      </w:r>
      <w:r>
        <w:t xml:space="preserve"> </w:t>
      </w:r>
      <w:r>
        <w:rPr>
          <w:iCs/>
          <w:i/>
        </w:rPr>
        <w:t xml:space="preserve">et al.</w:t>
      </w:r>
      <w:r>
        <w:t xml:space="preserve">, 2018)</w:t>
      </w:r>
      <w:r>
        <w:t xml:space="preserve">. 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leaf traits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 At greater tree height, both biological variables (tree-height) and biophysical variables (light, temperature, and evaporative demand )(Fig. 2) 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Leaf trait variation within the same species, here, is referred to as within-canopy intraspecific variation, and comparison of traits across species is referred to as interspecific variation. Therefore, 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8" w:name="intraspecific-variation"/>
    <w:p>
      <w:pPr>
        <w:pStyle w:val="Heading3"/>
      </w:pPr>
      <w:r>
        <w:t xml:space="preserve">Intraspecific variation</w:t>
      </w:r>
    </w:p>
    <w:p>
      <w:pPr>
        <w:pStyle w:val="FirstParagraph"/>
      </w:pPr>
      <w:r>
        <w:t xml:space="preserve">Within-canopy leaf traits vary along the canopy light gradient, ie. in sun and shade leaves</w:t>
      </w:r>
      <w:r>
        <w:t xml:space="preserve"> </w:t>
      </w:r>
      <w:r>
        <w:t xml:space="preserve">(Casas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This variation is crucial, to understand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5"/>
    <w:bookmarkStart w:id="37"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6"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6"/>
    <w:bookmarkEnd w:id="37"/>
    <w:bookmarkEnd w:id="38"/>
    <w:bookmarkStart w:id="40"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6"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6"/>
    <w:bookmarkStart w:id="57"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7"/>
    <w:bookmarkEnd w:id="58"/>
    <w:bookmarkStart w:id="66"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5"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60">
        <w:r>
          <w:rPr>
            <w:rStyle w:val="Hyperlink"/>
          </w:rPr>
          <w:t xml:space="preserve">https://doi.org/10.1016/j.rse.2014.01.028</w:t>
        </w:r>
      </w:hyperlink>
      <w:r>
        <w:t xml:space="preserve">, Musselman et al. </w:t>
      </w:r>
      <w:hyperlink r:id="rId61">
        <w:r>
          <w:rPr>
            <w:rStyle w:val="Hyperlink"/>
          </w:rPr>
          <w:t xml:space="preserve">https://doi.org/10.1016/j.rse.2013.05.021</w:t>
        </w:r>
      </w:hyperlink>
      <w:r>
        <w:t xml:space="preserve">, Davis et al. </w:t>
      </w:r>
      <w:hyperlink r:id="rId62">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3"/>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4">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5"/>
    <w:bookmarkEnd w:id="66"/>
    <w:bookmarkStart w:id="67"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7"/>
    <w:bookmarkStart w:id="68"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8"/>
    <w:bookmarkStart w:id="259" w:name="references"/>
    <w:p>
      <w:pPr>
        <w:pStyle w:val="Heading2"/>
      </w:pPr>
      <w:r>
        <w:t xml:space="preserve">References</w:t>
      </w:r>
    </w:p>
    <w:bookmarkStart w:id="258" w:name="refs"/>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7"/>
    <w:bookmarkStart w:id="7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8"/>
    <w:bookmarkStart w:id="89"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9"/>
    <w:bookmarkStart w:id="90"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0"/>
    <w:bookmarkStart w:id="9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1"/>
    <w:bookmarkStart w:id="9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2"/>
    <w:bookmarkStart w:id="9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3"/>
    <w:bookmarkStart w:id="9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4"/>
    <w:bookmarkStart w:id="9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5"/>
    <w:bookmarkStart w:id="96"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6"/>
    <w:bookmarkStart w:id="97"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7"/>
    <w:bookmarkStart w:id="9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8"/>
    <w:bookmarkStart w:id="9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9"/>
    <w:bookmarkStart w:id="10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0"/>
    <w:bookmarkStart w:id="10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1"/>
    <w:bookmarkStart w:id="10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2"/>
    <w:bookmarkStart w:id="10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3"/>
    <w:bookmarkStart w:id="104"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4"/>
    <w:bookmarkStart w:id="105"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5"/>
    <w:bookmarkStart w:id="10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6"/>
    <w:bookmarkStart w:id="10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7"/>
    <w:bookmarkStart w:id="108"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8"/>
    <w:bookmarkStart w:id="109"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9"/>
    <w:bookmarkStart w:id="110"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0"/>
    <w:bookmarkStart w:id="111"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1"/>
    <w:bookmarkStart w:id="11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2"/>
    <w:bookmarkStart w:id="11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3"/>
    <w:bookmarkStart w:id="11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4"/>
    <w:bookmarkStart w:id="11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5"/>
    <w:bookmarkStart w:id="116"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6"/>
    <w:bookmarkStart w:id="11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7"/>
    <w:bookmarkStart w:id="118"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8"/>
    <w:bookmarkStart w:id="11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9"/>
    <w:bookmarkStart w:id="120"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0"/>
    <w:bookmarkStart w:id="12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1"/>
    <w:bookmarkStart w:id="12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2"/>
    <w:bookmarkStart w:id="12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3"/>
    <w:bookmarkStart w:id="12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4"/>
    <w:bookmarkStart w:id="12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5"/>
    <w:bookmarkStart w:id="12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6"/>
    <w:bookmarkStart w:id="12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7"/>
    <w:bookmarkStart w:id="12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8"/>
    <w:bookmarkStart w:id="129"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9"/>
    <w:bookmarkStart w:id="130"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0"/>
    <w:bookmarkStart w:id="131"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1"/>
    <w:bookmarkStart w:id="13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2"/>
    <w:bookmarkStart w:id="13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3"/>
    <w:bookmarkStart w:id="134"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4"/>
    <w:bookmarkStart w:id="135"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5"/>
    <w:bookmarkStart w:id="136"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6"/>
    <w:bookmarkStart w:id="13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7"/>
    <w:bookmarkStart w:id="138"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8"/>
    <w:bookmarkStart w:id="139"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39"/>
    <w:bookmarkStart w:id="140"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0"/>
    <w:bookmarkStart w:id="14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1"/>
    <w:bookmarkStart w:id="14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2"/>
    <w:bookmarkStart w:id="143"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3"/>
    <w:bookmarkStart w:id="14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4"/>
    <w:bookmarkStart w:id="14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5"/>
    <w:bookmarkStart w:id="146"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6"/>
    <w:bookmarkStart w:id="14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7"/>
    <w:bookmarkStart w:id="14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8"/>
    <w:bookmarkStart w:id="14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9"/>
    <w:bookmarkStart w:id="15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0"/>
    <w:bookmarkStart w:id="15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1"/>
    <w:bookmarkStart w:id="15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2"/>
    <w:bookmarkStart w:id="15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3"/>
    <w:bookmarkStart w:id="15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4"/>
    <w:bookmarkStart w:id="155"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5"/>
    <w:bookmarkStart w:id="15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6"/>
    <w:bookmarkStart w:id="15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7"/>
    <w:bookmarkStart w:id="15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8"/>
    <w:bookmarkStart w:id="159"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59"/>
    <w:bookmarkStart w:id="160"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60"/>
    <w:bookmarkStart w:id="161"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1"/>
    <w:bookmarkStart w:id="16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2"/>
    <w:bookmarkStart w:id="163"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3"/>
    <w:bookmarkStart w:id="164"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4"/>
    <w:bookmarkStart w:id="16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5"/>
    <w:bookmarkStart w:id="166"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6"/>
    <w:bookmarkStart w:id="16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7"/>
    <w:bookmarkStart w:id="16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8"/>
    <w:bookmarkStart w:id="169"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9"/>
    <w:bookmarkStart w:id="170"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0"/>
    <w:bookmarkStart w:id="17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1"/>
    <w:bookmarkStart w:id="17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2"/>
    <w:bookmarkStart w:id="1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3"/>
    <w:bookmarkStart w:id="17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4"/>
    <w:bookmarkStart w:id="17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5"/>
    <w:bookmarkStart w:id="17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6"/>
    <w:bookmarkStart w:id="177"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7"/>
    <w:bookmarkStart w:id="178"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8"/>
    <w:bookmarkStart w:id="179"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79"/>
    <w:bookmarkStart w:id="18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0"/>
    <w:bookmarkStart w:id="18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1"/>
    <w:bookmarkStart w:id="182"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2"/>
    <w:bookmarkStart w:id="18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3"/>
    <w:bookmarkStart w:id="18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4"/>
    <w:bookmarkStart w:id="18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5"/>
    <w:bookmarkStart w:id="18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6"/>
    <w:bookmarkStart w:id="187"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7"/>
    <w:bookmarkStart w:id="18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8"/>
    <w:bookmarkStart w:id="18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9"/>
    <w:bookmarkStart w:id="19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0"/>
    <w:bookmarkStart w:id="19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1"/>
    <w:bookmarkStart w:id="192"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2"/>
    <w:bookmarkStart w:id="193"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3"/>
    <w:bookmarkStart w:id="194"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4"/>
    <w:bookmarkStart w:id="195"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5"/>
    <w:bookmarkStart w:id="19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6"/>
    <w:bookmarkStart w:id="19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7"/>
    <w:bookmarkStart w:id="1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8"/>
    <w:bookmarkStart w:id="199"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9"/>
    <w:bookmarkStart w:id="200"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0"/>
    <w:bookmarkStart w:id="201"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1"/>
    <w:bookmarkStart w:id="20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2"/>
    <w:bookmarkStart w:id="20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3"/>
    <w:bookmarkStart w:id="20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4"/>
    <w:bookmarkStart w:id="2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5"/>
    <w:bookmarkStart w:id="20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6"/>
    <w:bookmarkStart w:id="20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7"/>
    <w:bookmarkStart w:id="208"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8"/>
    <w:bookmarkStart w:id="2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9"/>
    <w:bookmarkStart w:id="2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0"/>
    <w:bookmarkStart w:id="21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1"/>
    <w:bookmarkStart w:id="21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2"/>
    <w:bookmarkStart w:id="213"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3"/>
    <w:bookmarkStart w:id="214"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4"/>
    <w:bookmarkStart w:id="21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5"/>
    <w:bookmarkStart w:id="216"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6"/>
    <w:bookmarkStart w:id="217"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7"/>
    <w:bookmarkStart w:id="218"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8"/>
    <w:bookmarkStart w:id="21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9"/>
    <w:bookmarkStart w:id="220"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1"/>
    <w:bookmarkStart w:id="22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2"/>
    <w:bookmarkStart w:id="223"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3"/>
    <w:bookmarkStart w:id="22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4"/>
    <w:bookmarkStart w:id="22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5"/>
    <w:bookmarkStart w:id="22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6"/>
    <w:bookmarkStart w:id="2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7"/>
    <w:bookmarkStart w:id="22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8"/>
    <w:bookmarkStart w:id="22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9"/>
    <w:bookmarkStart w:id="23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0"/>
    <w:bookmarkStart w:id="231"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1"/>
    <w:bookmarkStart w:id="23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2"/>
    <w:bookmarkStart w:id="23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3"/>
    <w:bookmarkStart w:id="234"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4"/>
    <w:bookmarkStart w:id="23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5"/>
    <w:bookmarkStart w:id="23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6"/>
    <w:bookmarkStart w:id="237"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7"/>
    <w:bookmarkStart w:id="23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8"/>
    <w:bookmarkStart w:id="23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9"/>
    <w:bookmarkStart w:id="24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0"/>
    <w:bookmarkStart w:id="24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1"/>
    <w:bookmarkStart w:id="242"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2"/>
    <w:bookmarkStart w:id="243"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3"/>
    <w:bookmarkStart w:id="24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4"/>
    <w:bookmarkStart w:id="24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5"/>
    <w:bookmarkStart w:id="24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6"/>
    <w:bookmarkStart w:id="24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7"/>
    <w:bookmarkStart w:id="24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8"/>
    <w:bookmarkStart w:id="24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9"/>
    <w:bookmarkStart w:id="25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0"/>
    <w:bookmarkStart w:id="251"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1"/>
    <w:bookmarkStart w:id="25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2"/>
    <w:bookmarkStart w:id="25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3"/>
    <w:bookmarkStart w:id="254"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4"/>
    <w:bookmarkStart w:id="25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5"/>
    <w:bookmarkStart w:id="25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6"/>
    <w:bookmarkStart w:id="25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7"/>
    <w:bookmarkEnd w:id="258"/>
    <w:bookmarkEnd w:id="259"/>
    <w:bookmarkEnd w:id="2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3" Target="media/rId63.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2021-06-26T14:17:26Z</dcterms:created>
  <dcterms:modified xsi:type="dcterms:W3CDTF">2021-06-26T14:17:26Z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